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E4" w:rsidRPr="00B7090F" w:rsidRDefault="00B7090F" w:rsidP="00C15265">
      <w:pPr>
        <w:jc w:val="center"/>
        <w:rPr>
          <w:rFonts w:ascii="Aharoni" w:hAnsi="Aharoni" w:cs="Aharoni"/>
          <w:b/>
          <w:sz w:val="28"/>
          <w:szCs w:val="28"/>
          <w:lang w:val="fr-FR"/>
        </w:rPr>
      </w:pPr>
      <w:r w:rsidRPr="00B7090F">
        <w:rPr>
          <w:rFonts w:ascii="Aharoni" w:hAnsi="Aharoni" w:cs="Aharoni"/>
          <w:b/>
          <w:sz w:val="28"/>
          <w:szCs w:val="28"/>
          <w:lang w:val="fr-FR"/>
        </w:rPr>
        <w:t>L’oral facultatif du Junior C</w:t>
      </w:r>
      <w:r w:rsidR="00C15265" w:rsidRPr="00B7090F">
        <w:rPr>
          <w:rFonts w:ascii="Aharoni" w:hAnsi="Aharoni" w:cs="Aharoni"/>
          <w:b/>
          <w:sz w:val="28"/>
          <w:szCs w:val="28"/>
          <w:lang w:val="fr-FR"/>
        </w:rPr>
        <w:t>ertificate</w:t>
      </w:r>
    </w:p>
    <w:p w:rsidR="00C15265" w:rsidRPr="00B7090F" w:rsidRDefault="00C15265">
      <w:pPr>
        <w:rPr>
          <w:lang w:val="fr-FR"/>
        </w:rPr>
      </w:pPr>
    </w:p>
    <w:p w:rsidR="000E046A" w:rsidRPr="003B210F" w:rsidRDefault="000E046A" w:rsidP="000E046A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 w:rsidRPr="003B210F">
        <w:rPr>
          <w:u w:val="single"/>
          <w:lang w:val="en-IE"/>
        </w:rPr>
        <w:t>Introduction</w:t>
      </w:r>
    </w:p>
    <w:p w:rsidR="00C15265" w:rsidRPr="000E046A" w:rsidRDefault="000109E3" w:rsidP="000E046A">
      <w:pPr>
        <w:pStyle w:val="ListParagraph"/>
        <w:rPr>
          <w:lang w:val="fr-FR"/>
        </w:rPr>
      </w:pPr>
      <w:r w:rsidRPr="000E046A">
        <w:rPr>
          <w:lang w:val="fr-FR"/>
        </w:rPr>
        <w:t xml:space="preserve">Je prépare mes classes à l’oral de Junior </w:t>
      </w:r>
      <w:proofErr w:type="spellStart"/>
      <w:r w:rsidRPr="000E046A">
        <w:rPr>
          <w:lang w:val="fr-FR"/>
        </w:rPr>
        <w:t>certificate</w:t>
      </w:r>
      <w:proofErr w:type="spellEnd"/>
      <w:r w:rsidRPr="000E046A">
        <w:rPr>
          <w:lang w:val="fr-FR"/>
        </w:rPr>
        <w:t xml:space="preserve"> depuis que j’enseigne. Je sais que tout le monde n’est pas d’accord sur le principe. </w:t>
      </w:r>
      <w:r w:rsidR="00AC11EB">
        <w:rPr>
          <w:lang w:val="fr-FR"/>
        </w:rPr>
        <w:t xml:space="preserve">Personnellement, je pense qu’il n’est pas forcement génial. Je préfèrerais quelque chose de plus authentique. Mais il </w:t>
      </w:r>
      <w:r w:rsidR="002241EE" w:rsidRPr="000E046A">
        <w:rPr>
          <w:lang w:val="fr-FR"/>
        </w:rPr>
        <w:t xml:space="preserve">est facultatif donc c’est votre choix. </w:t>
      </w:r>
      <w:r w:rsidRPr="000E046A">
        <w:rPr>
          <w:lang w:val="fr-FR"/>
        </w:rPr>
        <w:t xml:space="preserve">Voici mes raisons : </w:t>
      </w:r>
    </w:p>
    <w:p w:rsidR="000109E3" w:rsidRDefault="000109E3" w:rsidP="000109E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</w:t>
      </w:r>
      <w:r w:rsidR="00A806A8">
        <w:rPr>
          <w:lang w:val="fr-FR"/>
        </w:rPr>
        <w:t>élèves</w:t>
      </w:r>
      <w:r>
        <w:rPr>
          <w:lang w:val="fr-FR"/>
        </w:rPr>
        <w:t xml:space="preserve"> peuvent passer trois ans </w:t>
      </w:r>
      <w:r w:rsidR="00A806A8">
        <w:rPr>
          <w:lang w:val="fr-FR"/>
        </w:rPr>
        <w:t>à</w:t>
      </w:r>
      <w:r>
        <w:rPr>
          <w:lang w:val="fr-FR"/>
        </w:rPr>
        <w:t xml:space="preserve"> apprendre le </w:t>
      </w:r>
      <w:r w:rsidR="00A806A8">
        <w:rPr>
          <w:lang w:val="fr-FR"/>
        </w:rPr>
        <w:t>français</w:t>
      </w:r>
      <w:r>
        <w:rPr>
          <w:lang w:val="fr-FR"/>
        </w:rPr>
        <w:t xml:space="preserve"> et ne jamais parler</w:t>
      </w:r>
    </w:p>
    <w:p w:rsidR="000109E3" w:rsidRDefault="00A806A8" w:rsidP="000109E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élèves sont plus motivés pour parler sachant que ça va être note. Triste mais vrai ! </w:t>
      </w:r>
    </w:p>
    <w:p w:rsidR="00A806A8" w:rsidRDefault="00A806A8" w:rsidP="000109E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élèves ont vraiment l’impression d’avoir un acquis oral à la fin de leur Junior </w:t>
      </w:r>
      <w:proofErr w:type="spellStart"/>
      <w:r>
        <w:rPr>
          <w:lang w:val="fr-FR"/>
        </w:rPr>
        <w:t>cert</w:t>
      </w:r>
      <w:proofErr w:type="spellEnd"/>
      <w:r>
        <w:rPr>
          <w:lang w:val="fr-FR"/>
        </w:rPr>
        <w:t xml:space="preserve">. </w:t>
      </w:r>
    </w:p>
    <w:p w:rsidR="00A806A8" w:rsidRDefault="00A806A8" w:rsidP="000109E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élèves qui ont passé l’oral du Junior </w:t>
      </w:r>
      <w:proofErr w:type="spellStart"/>
      <w:r>
        <w:rPr>
          <w:lang w:val="fr-FR"/>
        </w:rPr>
        <w:t>cert</w:t>
      </w:r>
      <w:proofErr w:type="spellEnd"/>
      <w:r>
        <w:rPr>
          <w:lang w:val="fr-FR"/>
        </w:rPr>
        <w:t xml:space="preserve">, ont plus confiance pour le </w:t>
      </w:r>
      <w:proofErr w:type="spellStart"/>
      <w:r>
        <w:rPr>
          <w:lang w:val="fr-FR"/>
        </w:rPr>
        <w:t>leaving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</w:t>
      </w:r>
      <w:proofErr w:type="spellEnd"/>
      <w:r>
        <w:rPr>
          <w:lang w:val="fr-FR"/>
        </w:rPr>
        <w:t xml:space="preserve">. </w:t>
      </w:r>
    </w:p>
    <w:p w:rsidR="00A806A8" w:rsidRDefault="00A806A8" w:rsidP="000109E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</w:t>
      </w:r>
      <w:r w:rsidR="00656647">
        <w:rPr>
          <w:lang w:val="fr-FR"/>
        </w:rPr>
        <w:t>élèves</w:t>
      </w:r>
      <w:r>
        <w:rPr>
          <w:lang w:val="fr-FR"/>
        </w:rPr>
        <w:t xml:space="preserve"> </w:t>
      </w:r>
      <w:r w:rsidR="00656647">
        <w:rPr>
          <w:lang w:val="fr-FR"/>
        </w:rPr>
        <w:t xml:space="preserve">sont stressés, bien évidemment, mais s’en sortent généralement bien. </w:t>
      </w:r>
    </w:p>
    <w:p w:rsidR="00656647" w:rsidRDefault="00656647" w:rsidP="000109E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élèves connaissent la structure de l’examen donc il y a moins d’appréhension. </w:t>
      </w:r>
    </w:p>
    <w:p w:rsidR="00656647" w:rsidRDefault="002241EE" w:rsidP="000109E3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Même les élèves plus faibles réussissent et en plus ça les aide avec l’examen écrit </w:t>
      </w:r>
      <w:proofErr w:type="gramStart"/>
      <w:r>
        <w:rPr>
          <w:lang w:val="fr-FR"/>
        </w:rPr>
        <w:t xml:space="preserve">du </w:t>
      </w:r>
      <w:proofErr w:type="spellStart"/>
      <w:r>
        <w:rPr>
          <w:lang w:val="fr-FR"/>
        </w:rPr>
        <w:t>ordinary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level</w:t>
      </w:r>
      <w:proofErr w:type="spellEnd"/>
      <w:r>
        <w:rPr>
          <w:lang w:val="fr-FR"/>
        </w:rPr>
        <w:t xml:space="preserve">. </w:t>
      </w:r>
    </w:p>
    <w:p w:rsidR="000E046A" w:rsidRDefault="000E046A" w:rsidP="002241EE">
      <w:pPr>
        <w:rPr>
          <w:lang w:val="fr-FR"/>
        </w:rPr>
      </w:pPr>
    </w:p>
    <w:p w:rsidR="000E046A" w:rsidRPr="003B210F" w:rsidRDefault="000E046A" w:rsidP="000E046A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 w:rsidRPr="003B210F">
        <w:rPr>
          <w:u w:val="single"/>
          <w:lang w:val="fr-FR"/>
        </w:rPr>
        <w:t xml:space="preserve">Les détails </w:t>
      </w:r>
    </w:p>
    <w:p w:rsidR="000E046A" w:rsidRDefault="003B210F" w:rsidP="000E046A">
      <w:pPr>
        <w:pStyle w:val="ListParagraph"/>
        <w:rPr>
          <w:lang w:val="fr-FR"/>
        </w:rPr>
      </w:pPr>
      <w:r>
        <w:rPr>
          <w:lang w:val="fr-FR"/>
        </w:rPr>
        <w:t xml:space="preserve">Il y a quelques formalités </w:t>
      </w:r>
      <w:r w:rsidR="001B7B3E">
        <w:rPr>
          <w:lang w:val="fr-FR"/>
        </w:rPr>
        <w:t>à</w:t>
      </w:r>
      <w:r w:rsidR="005A415E">
        <w:rPr>
          <w:lang w:val="fr-FR"/>
        </w:rPr>
        <w:t xml:space="preserve"> faire. </w:t>
      </w:r>
    </w:p>
    <w:p w:rsidR="005A415E" w:rsidRDefault="005A415E" w:rsidP="0041206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 faut inscrire les candidats </w:t>
      </w:r>
      <w:r w:rsidR="00FF6B85">
        <w:rPr>
          <w:lang w:val="fr-FR"/>
        </w:rPr>
        <w:t>avant mars sur une feuille de la SEC (voir lien ci-dessous)</w:t>
      </w:r>
      <w:r w:rsidR="00426D68">
        <w:rPr>
          <w:lang w:val="fr-FR"/>
        </w:rPr>
        <w:t xml:space="preserve">. Cette liste doit être dans l’ordre des résultats espérés. </w:t>
      </w:r>
    </w:p>
    <w:p w:rsidR="00426D68" w:rsidRDefault="00426D68" w:rsidP="0041206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Apr</w:t>
      </w:r>
      <w:r w:rsidR="00412061">
        <w:rPr>
          <w:lang w:val="fr-FR"/>
        </w:rPr>
        <w:t>è</w:t>
      </w:r>
      <w:r>
        <w:rPr>
          <w:lang w:val="fr-FR"/>
        </w:rPr>
        <w:t>s les oraux doivent se faire selon les dates fixées par la SEC (voir les dates chaque année</w:t>
      </w:r>
      <w:r w:rsidR="00412061">
        <w:rPr>
          <w:lang w:val="fr-FR"/>
        </w:rPr>
        <w:t>) puis il faut envoyer les résultats à la SEC avant le 1</w:t>
      </w:r>
      <w:r w:rsidR="00412061" w:rsidRPr="00412061">
        <w:rPr>
          <w:vertAlign w:val="superscript"/>
          <w:lang w:val="fr-FR"/>
        </w:rPr>
        <w:t>er</w:t>
      </w:r>
      <w:r w:rsidR="00412061">
        <w:rPr>
          <w:lang w:val="fr-FR"/>
        </w:rPr>
        <w:t xml:space="preserve"> mai. </w:t>
      </w:r>
    </w:p>
    <w:p w:rsidR="00412061" w:rsidRDefault="00412061" w:rsidP="0041206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- Il y a un format suggéré par la SEC – questions orales et deux jeux de rôle. </w:t>
      </w:r>
      <w:r w:rsidR="001B7B3E">
        <w:rPr>
          <w:lang w:val="fr-FR"/>
        </w:rPr>
        <w:t xml:space="preserve">Vous pouvez aussi choisir votre propre format mais il faut prévenir la SEC. </w:t>
      </w:r>
    </w:p>
    <w:p w:rsidR="00412061" w:rsidRDefault="00412061" w:rsidP="000E046A">
      <w:pPr>
        <w:pStyle w:val="ListParagraph"/>
        <w:rPr>
          <w:lang w:val="fr-FR"/>
        </w:rPr>
      </w:pPr>
    </w:p>
    <w:p w:rsidR="005A415E" w:rsidRDefault="000E046A" w:rsidP="000E046A">
      <w:pPr>
        <w:pStyle w:val="ListParagraph"/>
        <w:rPr>
          <w:lang w:val="fr-FR"/>
        </w:rPr>
      </w:pPr>
      <w:r w:rsidRPr="000E046A">
        <w:rPr>
          <w:lang w:val="fr-FR"/>
        </w:rPr>
        <w:t>Le lien vers le</w:t>
      </w:r>
      <w:r w:rsidR="005A415E">
        <w:rPr>
          <w:lang w:val="fr-FR"/>
        </w:rPr>
        <w:t>s</w:t>
      </w:r>
      <w:r w:rsidRPr="000E046A">
        <w:rPr>
          <w:lang w:val="fr-FR"/>
        </w:rPr>
        <w:t xml:space="preserve"> document</w:t>
      </w:r>
      <w:r w:rsidR="005A415E">
        <w:rPr>
          <w:lang w:val="fr-FR"/>
        </w:rPr>
        <w:t>s</w:t>
      </w:r>
      <w:r w:rsidRPr="000E046A">
        <w:rPr>
          <w:lang w:val="fr-FR"/>
        </w:rPr>
        <w:t xml:space="preserve"> officiel</w:t>
      </w:r>
      <w:r w:rsidR="005A415E">
        <w:rPr>
          <w:lang w:val="fr-FR"/>
        </w:rPr>
        <w:t>s</w:t>
      </w:r>
      <w:r w:rsidRPr="000E046A">
        <w:rPr>
          <w:lang w:val="fr-FR"/>
        </w:rPr>
        <w:t xml:space="preserve"> de la State </w:t>
      </w:r>
      <w:proofErr w:type="spellStart"/>
      <w:r w:rsidRPr="000E046A">
        <w:rPr>
          <w:lang w:val="fr-FR"/>
        </w:rPr>
        <w:t>Examination</w:t>
      </w:r>
      <w:proofErr w:type="spellEnd"/>
      <w:r w:rsidRPr="000E046A">
        <w:rPr>
          <w:lang w:val="fr-FR"/>
        </w:rPr>
        <w:t xml:space="preserve"> Commission : </w:t>
      </w:r>
    </w:p>
    <w:p w:rsidR="005A415E" w:rsidRDefault="00BC71D4" w:rsidP="000E046A">
      <w:pPr>
        <w:pStyle w:val="ListParagraph"/>
        <w:rPr>
          <w:lang w:val="fr-FR"/>
        </w:rPr>
      </w:pPr>
      <w:hyperlink r:id="rId8" w:history="1">
        <w:r w:rsidR="005A415E" w:rsidRPr="005C6642">
          <w:rPr>
            <w:rStyle w:val="Hyperlink"/>
            <w:lang w:val="fr-FR"/>
          </w:rPr>
          <w:t>https://www.examinations.ie/schools/S77_13_JC_2014_Optional_Oral_in_French_German_Spanish_and_Italian_Circular.pdf</w:t>
        </w:r>
      </w:hyperlink>
    </w:p>
    <w:p w:rsidR="000E046A" w:rsidRDefault="00BC71D4" w:rsidP="000E046A">
      <w:pPr>
        <w:pStyle w:val="ListParagraph"/>
        <w:rPr>
          <w:lang w:val="fr-FR"/>
        </w:rPr>
      </w:pPr>
      <w:hyperlink r:id="rId9" w:history="1">
        <w:r w:rsidR="000E046A" w:rsidRPr="000E046A">
          <w:rPr>
            <w:rStyle w:val="Hyperlink"/>
            <w:lang w:val="fr-FR"/>
          </w:rPr>
          <w:t>https://www.examinations.ie/schools/Junior_Cert_French_oral_guidelines_2012.pdf</w:t>
        </w:r>
      </w:hyperlink>
    </w:p>
    <w:p w:rsidR="00B41908" w:rsidRDefault="00BC71D4" w:rsidP="000E046A">
      <w:pPr>
        <w:pStyle w:val="ListParagraph"/>
        <w:rPr>
          <w:lang w:val="fr-FR"/>
        </w:rPr>
      </w:pPr>
      <w:hyperlink r:id="rId10" w:history="1">
        <w:r w:rsidR="00B41908" w:rsidRPr="005C6642">
          <w:rPr>
            <w:rStyle w:val="Hyperlink"/>
            <w:lang w:val="fr-FR"/>
          </w:rPr>
          <w:t>https://www.examinations.ie/schools/BR2_Form_-_Modern_Languages_2014.pdf</w:t>
        </w:r>
      </w:hyperlink>
    </w:p>
    <w:p w:rsidR="00B41908" w:rsidRPr="000E046A" w:rsidRDefault="00B41908" w:rsidP="000E046A">
      <w:pPr>
        <w:pStyle w:val="ListParagraph"/>
        <w:rPr>
          <w:lang w:val="fr-FR"/>
        </w:rPr>
      </w:pPr>
    </w:p>
    <w:p w:rsidR="000E046A" w:rsidRPr="000E046A" w:rsidRDefault="000E046A" w:rsidP="000E046A">
      <w:pPr>
        <w:rPr>
          <w:lang w:val="fr-FR"/>
        </w:rPr>
      </w:pPr>
    </w:p>
    <w:p w:rsidR="000E046A" w:rsidRPr="00102900" w:rsidRDefault="000E046A" w:rsidP="000E046A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 w:rsidRPr="00102900">
        <w:rPr>
          <w:u w:val="single"/>
          <w:lang w:val="fr-FR"/>
        </w:rPr>
        <w:t xml:space="preserve">Comment préparer ses élèves ? </w:t>
      </w:r>
    </w:p>
    <w:p w:rsidR="001B7B3E" w:rsidRDefault="001B7B3E" w:rsidP="001B7B3E">
      <w:pPr>
        <w:pStyle w:val="ListParagraph"/>
        <w:rPr>
          <w:lang w:val="fr-FR"/>
        </w:rPr>
      </w:pPr>
      <w:r>
        <w:rPr>
          <w:lang w:val="fr-FR"/>
        </w:rPr>
        <w:t xml:space="preserve">Je vous explique ci-dessous comment je m’y prends. Je suis sure qu’il y a bien d’autres idées possibles. </w:t>
      </w:r>
    </w:p>
    <w:p w:rsidR="001B7B3E" w:rsidRDefault="001B7B3E" w:rsidP="001B7B3E">
      <w:pPr>
        <w:pStyle w:val="ListParagraph"/>
        <w:rPr>
          <w:lang w:val="fr-FR"/>
        </w:rPr>
      </w:pPr>
    </w:p>
    <w:p w:rsidR="00102900" w:rsidRPr="00102900" w:rsidRDefault="00102900" w:rsidP="001B7B3E">
      <w:pPr>
        <w:pStyle w:val="ListParagraph"/>
        <w:rPr>
          <w:b/>
          <w:lang w:val="fr-FR"/>
        </w:rPr>
      </w:pPr>
      <w:r w:rsidRPr="00102900">
        <w:rPr>
          <w:b/>
          <w:lang w:val="fr-FR"/>
        </w:rPr>
        <w:t>Les questions personnelles</w:t>
      </w:r>
    </w:p>
    <w:p w:rsidR="00102900" w:rsidRDefault="00102900" w:rsidP="001B7B3E">
      <w:pPr>
        <w:pStyle w:val="ListParagraph"/>
        <w:rPr>
          <w:lang w:val="fr-FR"/>
        </w:rPr>
      </w:pPr>
    </w:p>
    <w:p w:rsidR="001B7B3E" w:rsidRDefault="006913FE" w:rsidP="001B7B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Dès</w:t>
      </w:r>
      <w:r w:rsidR="001B7B3E">
        <w:rPr>
          <w:lang w:val="fr-FR"/>
        </w:rPr>
        <w:t xml:space="preserve"> la classe de 1st </w:t>
      </w:r>
      <w:proofErr w:type="spellStart"/>
      <w:r w:rsidR="001B7B3E">
        <w:rPr>
          <w:lang w:val="fr-FR"/>
        </w:rPr>
        <w:t>year</w:t>
      </w:r>
      <w:proofErr w:type="spellEnd"/>
      <w:r w:rsidR="001B7B3E">
        <w:rPr>
          <w:lang w:val="fr-FR"/>
        </w:rPr>
        <w:t>, je préviens les élèves qu’elles passeront un oral pour le</w:t>
      </w:r>
      <w:r>
        <w:rPr>
          <w:lang w:val="fr-FR"/>
        </w:rPr>
        <w:t xml:space="preserve">s examens de fin de trimestre. L’oral fait donc partie intégrale de la classe. </w:t>
      </w:r>
    </w:p>
    <w:p w:rsidR="00E6069B" w:rsidRDefault="00031EE5" w:rsidP="001B7B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verrez que les questions (surtout les premières) sont vraiment du niveau de 1st </w:t>
      </w:r>
      <w:proofErr w:type="spellStart"/>
      <w:r>
        <w:rPr>
          <w:lang w:val="fr-FR"/>
        </w:rPr>
        <w:t>year</w:t>
      </w:r>
      <w:proofErr w:type="spellEnd"/>
      <w:r>
        <w:rPr>
          <w:lang w:val="fr-FR"/>
        </w:rPr>
        <w:t xml:space="preserve">. Les élèves sont donc assez vite ravis quand </w:t>
      </w:r>
      <w:r w:rsidR="00AA1EA6">
        <w:rPr>
          <w:lang w:val="fr-FR"/>
        </w:rPr>
        <w:t xml:space="preserve">vous leur dites qu’ils peuvent déjà répondre à des questions du JC. </w:t>
      </w:r>
    </w:p>
    <w:p w:rsidR="00AA1EA6" w:rsidRDefault="00FE5B75" w:rsidP="00F0298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Je f</w:t>
      </w:r>
      <w:r w:rsidR="00AA1EA6">
        <w:rPr>
          <w:lang w:val="fr-FR"/>
        </w:rPr>
        <w:t xml:space="preserve">ais aussi des séances orales par exemple de 5 à 10 min suivant l’année </w:t>
      </w:r>
      <w:r>
        <w:rPr>
          <w:lang w:val="fr-FR"/>
        </w:rPr>
        <w:t xml:space="preserve">où les élèves sont soit des </w:t>
      </w:r>
      <w:r w:rsidR="002D7BE6">
        <w:rPr>
          <w:lang w:val="fr-FR"/>
        </w:rPr>
        <w:t>examinateurs soit des candidats, puis on change de rôle. Les élèves examinateurs doivent noter les candidats et donner un point positif et un point à améliorer.</w:t>
      </w:r>
      <w:r>
        <w:rPr>
          <w:lang w:val="fr-FR"/>
        </w:rPr>
        <w:t xml:space="preserve"> </w:t>
      </w:r>
      <w:r w:rsidR="00D677F6">
        <w:rPr>
          <w:lang w:val="fr-FR"/>
        </w:rPr>
        <w:t xml:space="preserve">J’utilise une application sur </w:t>
      </w:r>
      <w:proofErr w:type="gramStart"/>
      <w:r w:rsidR="00D677F6">
        <w:rPr>
          <w:lang w:val="fr-FR"/>
        </w:rPr>
        <w:t>le iPad</w:t>
      </w:r>
      <w:proofErr w:type="gramEnd"/>
      <w:r w:rsidR="00D677F6">
        <w:rPr>
          <w:lang w:val="fr-FR"/>
        </w:rPr>
        <w:t xml:space="preserve"> pour mettre le temps : Stop go ! </w:t>
      </w:r>
      <w:r w:rsidR="00F02981">
        <w:rPr>
          <w:lang w:val="fr-FR"/>
        </w:rPr>
        <w:t xml:space="preserve">mais il y a aussi des sites </w:t>
      </w:r>
      <w:proofErr w:type="gramStart"/>
      <w:r w:rsidR="00F02981">
        <w:rPr>
          <w:lang w:val="fr-FR"/>
        </w:rPr>
        <w:t xml:space="preserve">sympa comme </w:t>
      </w:r>
      <w:hyperlink r:id="rId11" w:history="1">
        <w:r w:rsidR="00F02981" w:rsidRPr="005C6642">
          <w:rPr>
            <w:rStyle w:val="Hyperlink"/>
            <w:lang w:val="fr-FR"/>
          </w:rPr>
          <w:t>http://www.online-stopwatch.com</w:t>
        </w:r>
        <w:proofErr w:type="gramEnd"/>
        <w:r w:rsidR="00F02981" w:rsidRPr="005C6642">
          <w:rPr>
            <w:rStyle w:val="Hyperlink"/>
            <w:lang w:val="fr-FR"/>
          </w:rPr>
          <w:t>/</w:t>
        </w:r>
      </w:hyperlink>
    </w:p>
    <w:p w:rsidR="00F02981" w:rsidRDefault="00757263" w:rsidP="00F0298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Comme nos élèves ont maintenant des iPads, elles font aussi de la pratique en devoirs grâce à l’application : Voice recorder Pro. Elles peuvent ainsi me les envoyer sur le compte </w:t>
      </w:r>
      <w:proofErr w:type="spellStart"/>
      <w:r>
        <w:rPr>
          <w:lang w:val="fr-FR"/>
        </w:rPr>
        <w:t>Edmodo</w:t>
      </w:r>
      <w:proofErr w:type="spellEnd"/>
      <w:r>
        <w:rPr>
          <w:lang w:val="fr-FR"/>
        </w:rPr>
        <w:t xml:space="preserve"> de la classe. </w:t>
      </w:r>
      <w:r w:rsidR="009A50A2">
        <w:rPr>
          <w:lang w:val="fr-FR"/>
        </w:rPr>
        <w:t xml:space="preserve">S’il y a un problème de prononciation, j’enregistre la prononciation et je leur renvoie. </w:t>
      </w:r>
      <w:r w:rsidR="00A71CCD">
        <w:rPr>
          <w:lang w:val="fr-FR"/>
        </w:rPr>
        <w:t>Bien sûr ça prend du temps mais après ils ont la bonne prononciation. Si vous n’</w:t>
      </w:r>
      <w:r w:rsidR="00EE7AB1">
        <w:rPr>
          <w:lang w:val="fr-FR"/>
        </w:rPr>
        <w:t xml:space="preserve">avez pas </w:t>
      </w:r>
      <w:proofErr w:type="spellStart"/>
      <w:r w:rsidR="00EE7AB1">
        <w:rPr>
          <w:lang w:val="fr-FR"/>
        </w:rPr>
        <w:t>d’Ipad</w:t>
      </w:r>
      <w:proofErr w:type="spellEnd"/>
      <w:r w:rsidR="00EE7AB1">
        <w:rPr>
          <w:lang w:val="fr-FR"/>
        </w:rPr>
        <w:t xml:space="preserve">, vous pouvez utiliser un site comme </w:t>
      </w:r>
      <w:hyperlink r:id="rId12" w:history="1">
        <w:r w:rsidR="00EE7AB1" w:rsidRPr="005C6642">
          <w:rPr>
            <w:rStyle w:val="Hyperlink"/>
            <w:lang w:val="fr-FR"/>
          </w:rPr>
          <w:t>www.voki.com</w:t>
        </w:r>
      </w:hyperlink>
    </w:p>
    <w:p w:rsidR="004F43B7" w:rsidRDefault="00EE7AB1" w:rsidP="00F0298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demande toujours à mes élèves de bien développer les </w:t>
      </w:r>
      <w:r w:rsidR="00B14BAA">
        <w:rPr>
          <w:lang w:val="fr-FR"/>
        </w:rPr>
        <w:t xml:space="preserve">réponses et quand elles passent avec moi, je leur pose toujours une question supplémentaire pour que </w:t>
      </w:r>
      <w:proofErr w:type="spellStart"/>
      <w:r w:rsidR="00B14BAA">
        <w:rPr>
          <w:lang w:val="fr-FR"/>
        </w:rPr>
        <w:t>ca</w:t>
      </w:r>
      <w:proofErr w:type="spellEnd"/>
      <w:r w:rsidR="00B14BAA">
        <w:rPr>
          <w:lang w:val="fr-FR"/>
        </w:rPr>
        <w:t xml:space="preserve"> fasse plus vrai. </w:t>
      </w:r>
    </w:p>
    <w:p w:rsidR="004F43B7" w:rsidRDefault="00B14BAA" w:rsidP="004F43B7">
      <w:pPr>
        <w:pStyle w:val="ListParagraph"/>
        <w:ind w:left="1080"/>
        <w:rPr>
          <w:lang w:val="fr-FR"/>
        </w:rPr>
      </w:pPr>
      <w:r>
        <w:rPr>
          <w:lang w:val="fr-FR"/>
        </w:rPr>
        <w:t xml:space="preserve">Par exemple : </w:t>
      </w:r>
    </w:p>
    <w:p w:rsidR="00EE7AB1" w:rsidRDefault="004F43B7" w:rsidP="004F43B7">
      <w:pPr>
        <w:pStyle w:val="ListParagraph"/>
        <w:ind w:left="1080"/>
        <w:rPr>
          <w:lang w:val="fr-FR"/>
        </w:rPr>
      </w:pPr>
      <w:r>
        <w:rPr>
          <w:lang w:val="fr-FR"/>
        </w:rPr>
        <w:t xml:space="preserve">E : </w:t>
      </w:r>
      <w:r w:rsidR="00B14BAA">
        <w:rPr>
          <w:lang w:val="fr-FR"/>
        </w:rPr>
        <w:t xml:space="preserve">As-tu un animal à la maison ? </w:t>
      </w:r>
      <w:r>
        <w:rPr>
          <w:lang w:val="fr-FR"/>
        </w:rPr>
        <w:t xml:space="preserve"> C : Oui, j’ai un chien. Il s’appelle Charly. </w:t>
      </w:r>
    </w:p>
    <w:p w:rsidR="004F43B7" w:rsidRDefault="004F43B7" w:rsidP="004F43B7">
      <w:pPr>
        <w:pStyle w:val="ListParagraph"/>
        <w:ind w:left="1080"/>
        <w:rPr>
          <w:lang w:val="fr-FR"/>
        </w:rPr>
      </w:pPr>
      <w:r>
        <w:rPr>
          <w:lang w:val="fr-FR"/>
        </w:rPr>
        <w:t xml:space="preserve">E : Il est de quelle couleur ? C : </w:t>
      </w:r>
      <w:r w:rsidR="00207C55">
        <w:rPr>
          <w:lang w:val="fr-FR"/>
        </w:rPr>
        <w:t xml:space="preserve">Marron. </w:t>
      </w:r>
    </w:p>
    <w:p w:rsidR="00207C55" w:rsidRDefault="00207C55" w:rsidP="004F43B7">
      <w:pPr>
        <w:pStyle w:val="ListParagraph"/>
        <w:ind w:left="1080"/>
        <w:rPr>
          <w:lang w:val="fr-FR"/>
        </w:rPr>
      </w:pPr>
      <w:r>
        <w:rPr>
          <w:lang w:val="fr-FR"/>
        </w:rPr>
        <w:t xml:space="preserve">E : Il a quel âge ? C : 4 ans. </w:t>
      </w:r>
    </w:p>
    <w:p w:rsidR="00207C55" w:rsidRDefault="00207C55" w:rsidP="007B2D3B">
      <w:pPr>
        <w:rPr>
          <w:lang w:val="fr-FR"/>
        </w:rPr>
      </w:pPr>
    </w:p>
    <w:p w:rsidR="00667251" w:rsidRPr="00102900" w:rsidRDefault="00667251" w:rsidP="00667251">
      <w:pPr>
        <w:pStyle w:val="ListParagraph"/>
        <w:rPr>
          <w:b/>
          <w:lang w:val="fr-FR"/>
        </w:rPr>
      </w:pPr>
      <w:r w:rsidRPr="00102900">
        <w:rPr>
          <w:b/>
          <w:lang w:val="fr-FR"/>
        </w:rPr>
        <w:t xml:space="preserve">Les </w:t>
      </w:r>
      <w:r>
        <w:rPr>
          <w:b/>
          <w:lang w:val="fr-FR"/>
        </w:rPr>
        <w:t xml:space="preserve">jeux de rôle </w:t>
      </w:r>
    </w:p>
    <w:p w:rsidR="00667251" w:rsidRDefault="00667251" w:rsidP="00667251">
      <w:pPr>
        <w:pStyle w:val="ListParagraph"/>
        <w:rPr>
          <w:lang w:val="fr-FR"/>
        </w:rPr>
      </w:pPr>
    </w:p>
    <w:p w:rsidR="00667251" w:rsidRDefault="00667251" w:rsidP="0066725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J’intègre les jeux de rôle </w:t>
      </w:r>
      <w:r w:rsidR="00FD5627">
        <w:rPr>
          <w:lang w:val="fr-FR"/>
        </w:rPr>
        <w:t>quand je fais les thèmes qui correspondent. Donc pour celui des habits, je le fais quand je fais les vêtements etc…</w:t>
      </w:r>
    </w:p>
    <w:p w:rsidR="00FD5627" w:rsidRDefault="00FF7138" w:rsidP="00667251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ne les prépare pas tous de la même manière de façon à ce que ça ne soit pas répétitif. </w:t>
      </w:r>
    </w:p>
    <w:p w:rsidR="00FF7138" w:rsidRPr="005D3E55" w:rsidRDefault="007805DB" w:rsidP="00667251">
      <w:pPr>
        <w:pStyle w:val="ListParagraph"/>
        <w:numPr>
          <w:ilvl w:val="0"/>
          <w:numId w:val="1"/>
        </w:numPr>
        <w:rPr>
          <w:u w:val="single"/>
          <w:lang w:val="fr-FR"/>
        </w:rPr>
      </w:pPr>
      <w:r w:rsidRPr="005D3E55">
        <w:rPr>
          <w:u w:val="single"/>
          <w:lang w:val="fr-FR"/>
        </w:rPr>
        <w:t xml:space="preserve">Suggestions : </w:t>
      </w:r>
    </w:p>
    <w:p w:rsidR="005A5D2A" w:rsidRDefault="005A5D2A" w:rsidP="007805DB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La première fois, je les aide pas mal. Je découpe les instructions </w:t>
      </w:r>
      <w:r>
        <w:rPr>
          <w:i/>
          <w:lang w:val="fr-FR"/>
        </w:rPr>
        <w:t>élève</w:t>
      </w:r>
      <w:r>
        <w:rPr>
          <w:lang w:val="fr-FR"/>
        </w:rPr>
        <w:t xml:space="preserve"> et </w:t>
      </w:r>
      <w:r w:rsidRPr="005A5D2A">
        <w:rPr>
          <w:i/>
          <w:lang w:val="fr-FR"/>
        </w:rPr>
        <w:t>examinateur</w:t>
      </w:r>
      <w:r>
        <w:rPr>
          <w:lang w:val="fr-FR"/>
        </w:rPr>
        <w:t xml:space="preserve"> </w:t>
      </w:r>
      <w:r w:rsidR="0020188B">
        <w:rPr>
          <w:lang w:val="fr-FR"/>
        </w:rPr>
        <w:t xml:space="preserve">(sans les réponses préinscrites) </w:t>
      </w:r>
      <w:r>
        <w:rPr>
          <w:lang w:val="fr-FR"/>
        </w:rPr>
        <w:t xml:space="preserve">et elles doivent </w:t>
      </w:r>
      <w:r w:rsidR="00B22A2E">
        <w:rPr>
          <w:lang w:val="fr-FR"/>
        </w:rPr>
        <w:t xml:space="preserve">en groupe de 4 les remettre dans l’ordre. </w:t>
      </w:r>
    </w:p>
    <w:p w:rsidR="00B22A2E" w:rsidRDefault="00B22A2E" w:rsidP="00B22A2E">
      <w:pPr>
        <w:pStyle w:val="ListParagraph"/>
        <w:ind w:left="1800"/>
        <w:rPr>
          <w:lang w:val="fr-FR"/>
        </w:rPr>
      </w:pPr>
      <w:r>
        <w:rPr>
          <w:lang w:val="fr-FR"/>
        </w:rPr>
        <w:t>Apr</w:t>
      </w:r>
      <w:r w:rsidR="004635F3">
        <w:rPr>
          <w:lang w:val="fr-FR"/>
        </w:rPr>
        <w:t>è</w:t>
      </w:r>
      <w:r>
        <w:rPr>
          <w:lang w:val="fr-FR"/>
        </w:rPr>
        <w:t xml:space="preserve">s, deux prennent les fiches </w:t>
      </w:r>
      <w:r w:rsidR="0020188B" w:rsidRPr="0020188B">
        <w:rPr>
          <w:i/>
          <w:lang w:val="fr-FR"/>
        </w:rPr>
        <w:t>élève</w:t>
      </w:r>
      <w:r>
        <w:rPr>
          <w:lang w:val="fr-FR"/>
        </w:rPr>
        <w:t xml:space="preserve"> et deux prennent les fiches </w:t>
      </w:r>
      <w:r w:rsidRPr="0020188B">
        <w:rPr>
          <w:i/>
          <w:lang w:val="fr-FR"/>
        </w:rPr>
        <w:t>examinateur</w:t>
      </w:r>
      <w:r>
        <w:rPr>
          <w:lang w:val="fr-FR"/>
        </w:rPr>
        <w:t xml:space="preserve"> et </w:t>
      </w:r>
      <w:r w:rsidR="0020188B">
        <w:rPr>
          <w:lang w:val="fr-FR"/>
        </w:rPr>
        <w:t xml:space="preserve">elles essaient de trouver comment elles diraient. </w:t>
      </w:r>
    </w:p>
    <w:p w:rsidR="0020188B" w:rsidRDefault="0020188B" w:rsidP="00B22A2E">
      <w:pPr>
        <w:pStyle w:val="ListParagraph"/>
        <w:ind w:left="1800"/>
        <w:rPr>
          <w:lang w:val="fr-FR"/>
        </w:rPr>
      </w:pPr>
      <w:r>
        <w:rPr>
          <w:lang w:val="fr-FR"/>
        </w:rPr>
        <w:t xml:space="preserve">On fait une mise en commun. Chacun peut choisir sa façon de dire. </w:t>
      </w:r>
    </w:p>
    <w:p w:rsidR="00B22A2E" w:rsidRDefault="00082A55" w:rsidP="007805DB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En devoirs, préparer </w:t>
      </w:r>
      <w:r w:rsidR="00212562">
        <w:rPr>
          <w:lang w:val="fr-FR"/>
        </w:rPr>
        <w:t>le jeu de rôle</w:t>
      </w:r>
      <w:r w:rsidR="0057203A">
        <w:rPr>
          <w:lang w:val="fr-FR"/>
        </w:rPr>
        <w:t xml:space="preserve">. En paire, </w:t>
      </w:r>
      <w:r w:rsidR="00822EE0">
        <w:rPr>
          <w:lang w:val="fr-FR"/>
        </w:rPr>
        <w:t xml:space="preserve">relire le jeu de rôle </w:t>
      </w:r>
      <w:r w:rsidR="00F455E1">
        <w:rPr>
          <w:lang w:val="fr-FR"/>
        </w:rPr>
        <w:t>et corriger éventuellement pour en faire un en commun. Professeur corrige. Toujours en paire, les élèves</w:t>
      </w:r>
      <w:r w:rsidR="0095345F">
        <w:rPr>
          <w:lang w:val="fr-FR"/>
        </w:rPr>
        <w:t xml:space="preserve"> reprennent leur dialogue et choisissent d’</w:t>
      </w:r>
      <w:r w:rsidR="00E05239">
        <w:rPr>
          <w:lang w:val="fr-FR"/>
        </w:rPr>
        <w:t>éliminer</w:t>
      </w:r>
      <w:r w:rsidR="0095345F">
        <w:rPr>
          <w:lang w:val="fr-FR"/>
        </w:rPr>
        <w:t xml:space="preserve"> </w:t>
      </w:r>
      <w:r w:rsidR="00E05239">
        <w:rPr>
          <w:lang w:val="fr-FR"/>
        </w:rPr>
        <w:t xml:space="preserve">15 mots dans leur dialogue, le réécrire et échanger avec un autre groupe. </w:t>
      </w:r>
      <w:r w:rsidR="005D3E55">
        <w:rPr>
          <w:lang w:val="fr-FR"/>
        </w:rPr>
        <w:t xml:space="preserve">Redonner pour corriger. Ecrire sa propre version. </w:t>
      </w:r>
    </w:p>
    <w:p w:rsidR="007805DB" w:rsidRDefault="007805DB" w:rsidP="007805DB">
      <w:pPr>
        <w:pStyle w:val="ListParagraph"/>
        <w:numPr>
          <w:ilvl w:val="0"/>
          <w:numId w:val="3"/>
        </w:numPr>
        <w:rPr>
          <w:lang w:val="fr-FR"/>
        </w:rPr>
      </w:pPr>
      <w:r w:rsidRPr="007805DB">
        <w:rPr>
          <w:lang w:val="fr-FR"/>
        </w:rPr>
        <w:t xml:space="preserve">Donner aux élèves </w:t>
      </w:r>
      <w:r>
        <w:rPr>
          <w:lang w:val="fr-FR"/>
        </w:rPr>
        <w:t xml:space="preserve">les fiches </w:t>
      </w:r>
      <w:r w:rsidRPr="007805DB">
        <w:rPr>
          <w:i/>
          <w:lang w:val="fr-FR"/>
        </w:rPr>
        <w:t>élèves</w:t>
      </w:r>
      <w:r w:rsidR="005A5D2A">
        <w:rPr>
          <w:lang w:val="fr-FR"/>
        </w:rPr>
        <w:t xml:space="preserve"> et leur demander de trouver les instructions qui sont sur la feuille </w:t>
      </w:r>
      <w:r w:rsidR="005A5D2A">
        <w:rPr>
          <w:i/>
          <w:lang w:val="fr-FR"/>
        </w:rPr>
        <w:t>examinateur</w:t>
      </w:r>
      <w:r w:rsidR="000330E6">
        <w:rPr>
          <w:lang w:val="fr-FR"/>
        </w:rPr>
        <w:t xml:space="preserve"> </w:t>
      </w:r>
      <w:r w:rsidR="00AE28BC">
        <w:rPr>
          <w:lang w:val="fr-FR"/>
        </w:rPr>
        <w:t xml:space="preserve">ou </w:t>
      </w:r>
      <w:r w:rsidR="000330E6">
        <w:rPr>
          <w:lang w:val="fr-FR"/>
        </w:rPr>
        <w:t xml:space="preserve">vice </w:t>
      </w:r>
      <w:proofErr w:type="gramStart"/>
      <w:r w:rsidR="000330E6">
        <w:rPr>
          <w:lang w:val="fr-FR"/>
        </w:rPr>
        <w:t>versa</w:t>
      </w:r>
      <w:proofErr w:type="gramEnd"/>
      <w:r w:rsidR="000330E6">
        <w:rPr>
          <w:lang w:val="fr-FR"/>
        </w:rPr>
        <w:t xml:space="preserve">. Ensuite, elles </w:t>
      </w:r>
      <w:r w:rsidR="00AE28BC">
        <w:rPr>
          <w:lang w:val="fr-FR"/>
        </w:rPr>
        <w:t xml:space="preserve">se mettent en groupe pour écrire le dialogue en français. </w:t>
      </w:r>
      <w:r w:rsidR="002C06F7">
        <w:rPr>
          <w:lang w:val="fr-FR"/>
        </w:rPr>
        <w:t xml:space="preserve">Ensuite, deux de chaque groupe échangent avec un autre groupe pour </w:t>
      </w:r>
      <w:r w:rsidR="00837973">
        <w:rPr>
          <w:lang w:val="fr-FR"/>
        </w:rPr>
        <w:t>améliorer</w:t>
      </w:r>
      <w:r w:rsidR="002C06F7">
        <w:rPr>
          <w:lang w:val="fr-FR"/>
        </w:rPr>
        <w:t xml:space="preserve"> leur dialogue, ainsi de suite puis retour au groupe </w:t>
      </w:r>
      <w:r w:rsidR="00082A55">
        <w:rPr>
          <w:lang w:val="fr-FR"/>
        </w:rPr>
        <w:t xml:space="preserve">initial pour fignoler le dialogue. </w:t>
      </w:r>
    </w:p>
    <w:p w:rsidR="005D3E55" w:rsidRDefault="00D45A58" w:rsidP="007805DB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élèves</w:t>
      </w:r>
      <w:r w:rsidR="006F061B">
        <w:rPr>
          <w:lang w:val="fr-FR"/>
        </w:rPr>
        <w:t xml:space="preserve"> écrivent leur dialogue mais glissent trois erreurs par rapport aux </w:t>
      </w:r>
      <w:r w:rsidR="00591334">
        <w:rPr>
          <w:lang w:val="fr-FR"/>
        </w:rPr>
        <w:t>instructions</w:t>
      </w:r>
      <w:r w:rsidR="006F061B">
        <w:rPr>
          <w:lang w:val="fr-FR"/>
        </w:rPr>
        <w:t>. Le</w:t>
      </w:r>
      <w:r w:rsidR="00591334">
        <w:rPr>
          <w:lang w:val="fr-FR"/>
        </w:rPr>
        <w:t xml:space="preserve"> professeur corrige le français. Les élèves échangent leur dialogue et doivent trouver les erreurs. </w:t>
      </w:r>
      <w:r w:rsidR="00C20533">
        <w:rPr>
          <w:lang w:val="fr-FR"/>
        </w:rPr>
        <w:t xml:space="preserve">Peut se faire en compétition et les élèves doivent bien refaire le dialogue. </w:t>
      </w:r>
    </w:p>
    <w:p w:rsidR="003724CD" w:rsidRDefault="003724CD" w:rsidP="007805DB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lastRenderedPageBreak/>
        <w:t xml:space="preserve">Les jokers – quand les élèves révisent, on peut leur donner un certain nombre de jokers. S’ils oublient un mot, ils donnent un joker </w:t>
      </w:r>
      <w:r w:rsidR="00E573C3">
        <w:rPr>
          <w:lang w:val="fr-FR"/>
        </w:rPr>
        <w:t xml:space="preserve">à leur partenaire pour avoir une aide soit le mot en anglais soit la première syllabe. Quand il n’y a plus de joker, on </w:t>
      </w:r>
      <w:r w:rsidR="000714EC">
        <w:rPr>
          <w:lang w:val="fr-FR"/>
        </w:rPr>
        <w:t xml:space="preserve">perd et son partenaire gagne. </w:t>
      </w:r>
      <w:r w:rsidR="00DF6905">
        <w:rPr>
          <w:lang w:val="fr-FR"/>
        </w:rPr>
        <w:t xml:space="preserve">(voir la grille de joker) </w:t>
      </w:r>
    </w:p>
    <w:p w:rsidR="00D07A56" w:rsidRDefault="00D07A56" w:rsidP="00D07A5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Pour la pratique, il est important qu’ils puissent faire l’examinateur et le candidat car </w:t>
      </w:r>
      <w:r w:rsidR="00DB7D3D">
        <w:rPr>
          <w:lang w:val="fr-FR"/>
        </w:rPr>
        <w:t>ça</w:t>
      </w:r>
      <w:r w:rsidR="005B6417">
        <w:rPr>
          <w:lang w:val="fr-FR"/>
        </w:rPr>
        <w:t xml:space="preserve"> leur permet de reconnaitre les différentes façons de </w:t>
      </w:r>
      <w:r w:rsidR="00DB7D3D">
        <w:rPr>
          <w:lang w:val="fr-FR"/>
        </w:rPr>
        <w:t xml:space="preserve">poser une question ou de dire quelque chose. </w:t>
      </w:r>
      <w:r w:rsidR="00A32A70">
        <w:rPr>
          <w:lang w:val="fr-FR"/>
        </w:rPr>
        <w:t>Il faut aussi toujours changer les par</w:t>
      </w:r>
      <w:r w:rsidR="004D70A1">
        <w:rPr>
          <w:lang w:val="fr-FR"/>
        </w:rPr>
        <w:t xml:space="preserve">tenaires sinon ils s’habituent. </w:t>
      </w:r>
    </w:p>
    <w:p w:rsidR="00A32A70" w:rsidRDefault="004D70A1" w:rsidP="00D07A5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S’ils ont des </w:t>
      </w:r>
      <w:r w:rsidR="003724CD">
        <w:rPr>
          <w:lang w:val="fr-FR"/>
        </w:rPr>
        <w:t xml:space="preserve">tablettes, ils peuvent s’enregistrer réécouter pour travailler la prononciation. Le prof peut passer écouter et faire retravailler ce qui ne va pas. </w:t>
      </w:r>
    </w:p>
    <w:p w:rsidR="00DF6905" w:rsidRDefault="00DF6905" w:rsidP="00D07A5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Une fois tous les jeux de rôle préparés, </w:t>
      </w:r>
      <w:r w:rsidR="00785C3C">
        <w:rPr>
          <w:lang w:val="fr-FR"/>
        </w:rPr>
        <w:t>il faut tous les revoir. On peut mettre les cartes dans des enveloppes et les élèves</w:t>
      </w:r>
      <w:r w:rsidR="00456553">
        <w:rPr>
          <w:lang w:val="fr-FR"/>
        </w:rPr>
        <w:t xml:space="preserve"> tirent au sort quand ils rentrent. </w:t>
      </w:r>
    </w:p>
    <w:p w:rsidR="00456553" w:rsidRDefault="00456553" w:rsidP="00D07A5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Pour les plus faibles, on peut leur faire un triangle avec une feuille A4. (Plier la feuille A4 en prisme). </w:t>
      </w:r>
      <w:r w:rsidR="00A57D56">
        <w:rPr>
          <w:lang w:val="fr-FR"/>
        </w:rPr>
        <w:t xml:space="preserve">Sur un premier côté, </w:t>
      </w:r>
      <w:r w:rsidR="005E487B">
        <w:rPr>
          <w:lang w:val="fr-FR"/>
        </w:rPr>
        <w:t>les élèves écrivent</w:t>
      </w:r>
      <w:r w:rsidR="00A57D56">
        <w:rPr>
          <w:lang w:val="fr-FR"/>
        </w:rPr>
        <w:t xml:space="preserve"> </w:t>
      </w:r>
      <w:r w:rsidR="005E487B">
        <w:rPr>
          <w:lang w:val="fr-FR"/>
        </w:rPr>
        <w:t>leur</w:t>
      </w:r>
      <w:r w:rsidR="00A57D56">
        <w:rPr>
          <w:lang w:val="fr-FR"/>
        </w:rPr>
        <w:t xml:space="preserve"> dialogue </w:t>
      </w:r>
      <w:r w:rsidR="005E487B">
        <w:rPr>
          <w:lang w:val="fr-FR"/>
        </w:rPr>
        <w:t xml:space="preserve">avec quelques trous (niveau 1). Sur un deuxième </w:t>
      </w:r>
      <w:r w:rsidR="005E487B">
        <w:rPr>
          <w:lang w:val="fr-FR"/>
        </w:rPr>
        <w:t>côté</w:t>
      </w:r>
      <w:r w:rsidR="005E487B">
        <w:rPr>
          <w:lang w:val="fr-FR"/>
        </w:rPr>
        <w:t xml:space="preserve">, les élèves écrivent </w:t>
      </w:r>
      <w:r w:rsidR="003250BF">
        <w:rPr>
          <w:lang w:val="fr-FR"/>
        </w:rPr>
        <w:t xml:space="preserve">leur dialogue dans les instructions de l’examinateur et avec des trous (niveau 2). Sur le troisième </w:t>
      </w:r>
      <w:r w:rsidR="003250BF">
        <w:rPr>
          <w:lang w:val="fr-FR"/>
        </w:rPr>
        <w:t>côté</w:t>
      </w:r>
      <w:r w:rsidR="003250BF">
        <w:rPr>
          <w:lang w:val="fr-FR"/>
        </w:rPr>
        <w:t xml:space="preserve">, les élèves écrivent que </w:t>
      </w:r>
      <w:r w:rsidR="004D6659">
        <w:rPr>
          <w:lang w:val="fr-FR"/>
        </w:rPr>
        <w:t xml:space="preserve">les instructions </w:t>
      </w:r>
      <w:r w:rsidR="004D6659" w:rsidRPr="004D6659">
        <w:rPr>
          <w:i/>
          <w:lang w:val="fr-FR"/>
        </w:rPr>
        <w:t>candidat</w:t>
      </w:r>
      <w:r w:rsidR="004D6659">
        <w:rPr>
          <w:lang w:val="fr-FR"/>
        </w:rPr>
        <w:t xml:space="preserve">. (niveau 3). Les élèves peuvent choisir leur niveau de difficulté pour chaque dialogue. </w:t>
      </w:r>
    </w:p>
    <w:p w:rsidR="003C1FEC" w:rsidRDefault="003C1FEC" w:rsidP="003C1FEC">
      <w:pPr>
        <w:rPr>
          <w:lang w:val="fr-FR"/>
        </w:rPr>
      </w:pPr>
      <w:r>
        <w:rPr>
          <w:lang w:val="fr-FR"/>
        </w:rPr>
        <w:t xml:space="preserve">Je leur fais passer un oral blanc qui compte pour le JC blanc. Cela leur donne une bonne idée de l’importance de l’oral (20%). Pour la majorité, le résultat améliore leur résultat final. Je les enregistre et je leur envoie pour qu’ils s’écoutent. </w:t>
      </w:r>
    </w:p>
    <w:p w:rsidR="003C1FEC" w:rsidRPr="007C37F4" w:rsidRDefault="007C37F4" w:rsidP="003C1FEC">
      <w:pPr>
        <w:rPr>
          <w:lang w:val="en-US"/>
        </w:rPr>
      </w:pPr>
      <w:r w:rsidRPr="007C37F4">
        <w:rPr>
          <w:lang w:val="en-US"/>
        </w:rPr>
        <w:t xml:space="preserve">I have recorded the questions for students to listen to the </w:t>
      </w:r>
      <w:r w:rsidR="008F1789" w:rsidRPr="007C37F4">
        <w:rPr>
          <w:lang w:val="en-US"/>
        </w:rPr>
        <w:t>pronunciation</w:t>
      </w:r>
      <w:r w:rsidRPr="007C37F4">
        <w:rPr>
          <w:lang w:val="en-US"/>
        </w:rPr>
        <w:t xml:space="preserve"> </w:t>
      </w:r>
      <w:r w:rsidR="008F1789">
        <w:rPr>
          <w:lang w:val="en-US"/>
        </w:rPr>
        <w:t xml:space="preserve">of the personal questions </w:t>
      </w:r>
      <w:r w:rsidRPr="007C37F4">
        <w:rPr>
          <w:lang w:val="en-US"/>
        </w:rPr>
        <w:t xml:space="preserve">and how </w:t>
      </w:r>
      <w:r w:rsidR="008F1789">
        <w:rPr>
          <w:lang w:val="en-US"/>
        </w:rPr>
        <w:t xml:space="preserve">they can be asked differently. </w:t>
      </w:r>
      <w:r w:rsidR="005450BC">
        <w:rPr>
          <w:lang w:val="en-US"/>
        </w:rPr>
        <w:t xml:space="preserve">They can be found on </w:t>
      </w:r>
      <w:proofErr w:type="gramStart"/>
      <w:r w:rsidR="005450BC">
        <w:rPr>
          <w:lang w:val="en-US"/>
        </w:rPr>
        <w:t>www.learnforeignlanguageskills.com .</w:t>
      </w:r>
      <w:proofErr w:type="gramEnd"/>
      <w:r w:rsidR="005450BC">
        <w:rPr>
          <w:lang w:val="en-US"/>
        </w:rPr>
        <w:t xml:space="preserve"> </w:t>
      </w:r>
      <w:proofErr w:type="gramStart"/>
      <w:r w:rsidR="005450BC">
        <w:rPr>
          <w:lang w:val="en-US"/>
        </w:rPr>
        <w:t>register</w:t>
      </w:r>
      <w:proofErr w:type="gramEnd"/>
      <w:r w:rsidR="005450BC">
        <w:rPr>
          <w:lang w:val="en-US"/>
        </w:rPr>
        <w:t xml:space="preserve"> for free </w:t>
      </w:r>
      <w:r w:rsidR="00DC2BC3">
        <w:rPr>
          <w:lang w:val="en-US"/>
        </w:rPr>
        <w:t>and you will see a tab called Vocabulary</w:t>
      </w:r>
      <w:r w:rsidR="000D38E6">
        <w:rPr>
          <w:lang w:val="en-US"/>
        </w:rPr>
        <w:t xml:space="preserve"> once you are in</w:t>
      </w:r>
      <w:r w:rsidR="00DC2BC3">
        <w:rPr>
          <w:lang w:val="en-US"/>
        </w:rPr>
        <w:t xml:space="preserve">, click on French and then select the JC French oral questions. </w:t>
      </w:r>
      <w:r w:rsidR="000D38E6">
        <w:rPr>
          <w:lang w:val="en-US"/>
        </w:rPr>
        <w:t xml:space="preserve">There is no charge. </w:t>
      </w:r>
    </w:p>
    <w:p w:rsidR="000330E6" w:rsidRPr="007C37F4" w:rsidRDefault="000330E6" w:rsidP="000330E6">
      <w:pPr>
        <w:ind w:left="1800"/>
        <w:rPr>
          <w:lang w:val="en-US"/>
        </w:rPr>
      </w:pPr>
    </w:p>
    <w:p w:rsidR="00456553" w:rsidRPr="007C37F4" w:rsidRDefault="00456553">
      <w:pPr>
        <w:rPr>
          <w:lang w:val="en-US"/>
        </w:rPr>
      </w:pPr>
      <w:r w:rsidRPr="007C37F4">
        <w:rPr>
          <w:lang w:val="en-US"/>
        </w:rPr>
        <w:br w:type="page"/>
      </w:r>
    </w:p>
    <w:p w:rsidR="00456553" w:rsidRPr="007C37F4" w:rsidRDefault="00456553" w:rsidP="0045655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6553" w:rsidRPr="003C1FEC" w:rsidTr="00B73D33">
        <w:tc>
          <w:tcPr>
            <w:tcW w:w="2254" w:type="dxa"/>
          </w:tcPr>
          <w:p w:rsidR="00456553" w:rsidRPr="007C37F4" w:rsidRDefault="00456553" w:rsidP="00B73D33">
            <w:pPr>
              <w:rPr>
                <w:lang w:val="en-US"/>
              </w:rPr>
            </w:pPr>
          </w:p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AFDDA80" wp14:editId="17B4225D">
                  <wp:extent cx="990600" cy="144143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553" w:rsidRPr="003C1FEC" w:rsidRDefault="00456553" w:rsidP="00B73D33">
            <w:pPr>
              <w:rPr>
                <w:lang w:val="fr-FR"/>
              </w:rPr>
            </w:pP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49716A9" wp14:editId="634D392B">
                  <wp:extent cx="990600" cy="144143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497167E" wp14:editId="53469A84">
                  <wp:extent cx="990600" cy="1441430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6A2A360" wp14:editId="38628985">
                  <wp:extent cx="990600" cy="144143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53" w:rsidRPr="003C1FEC" w:rsidTr="00B73D33"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7427F85" wp14:editId="0D22E0BE">
                  <wp:extent cx="990600" cy="1441430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553" w:rsidRPr="003C1FEC" w:rsidRDefault="00456553" w:rsidP="00B73D33">
            <w:pPr>
              <w:rPr>
                <w:lang w:val="fr-FR"/>
              </w:rPr>
            </w:pP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E14A12F" wp14:editId="4878387A">
                  <wp:extent cx="990600" cy="1441430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71B8732" wp14:editId="061E7211">
                  <wp:extent cx="990600" cy="144143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90AB50A" wp14:editId="0AD029B0">
                  <wp:extent cx="990600" cy="144143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53" w:rsidRPr="003C1FEC" w:rsidTr="00B73D33"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EDBEB60" wp14:editId="05E1A2B0">
                  <wp:extent cx="990600" cy="144143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C2AE120" wp14:editId="540B6263">
                  <wp:extent cx="990600" cy="1441430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3CA6108" wp14:editId="15F94D6B">
                  <wp:extent cx="990600" cy="1441430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81BCFB9" wp14:editId="7DFCBB7A">
                  <wp:extent cx="990600" cy="1441430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53" w:rsidRPr="003C1FEC" w:rsidTr="00B73D33"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3B13E44" wp14:editId="21AE95CA">
                  <wp:extent cx="990600" cy="1441430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1B52D1E" wp14:editId="5E909D5B">
                  <wp:extent cx="990600" cy="1441430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CF19482" wp14:editId="0ADB2103">
                  <wp:extent cx="990600" cy="1441430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38E2538" wp14:editId="4F368080">
                  <wp:extent cx="990600" cy="1441430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53" w:rsidRPr="003C1FEC" w:rsidTr="00B73D33"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8ECA050" wp14:editId="28CF19E5">
                  <wp:extent cx="990600" cy="1441430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C213159" wp14:editId="106EDDEE">
                  <wp:extent cx="990600" cy="1441430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844A897" wp14:editId="4D045404">
                  <wp:extent cx="990600" cy="1441430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456553" w:rsidRPr="003C1FEC" w:rsidRDefault="00456553" w:rsidP="00B73D33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A17E8E8" wp14:editId="424EE2C0">
                  <wp:extent cx="990600" cy="1441430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49" cy="1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553" w:rsidRPr="003C1FEC" w:rsidRDefault="00456553" w:rsidP="00456553">
      <w:pPr>
        <w:rPr>
          <w:lang w:val="fr-FR"/>
        </w:rPr>
      </w:pPr>
    </w:p>
    <w:p w:rsidR="007B2D3B" w:rsidRPr="007B2D3B" w:rsidRDefault="007B2D3B" w:rsidP="007B2D3B">
      <w:pPr>
        <w:rPr>
          <w:lang w:val="fr-FR"/>
        </w:rPr>
      </w:pPr>
    </w:p>
    <w:sectPr w:rsidR="007B2D3B" w:rsidRPr="007B2D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0F" w:rsidRDefault="00B7090F" w:rsidP="00B7090F">
      <w:pPr>
        <w:spacing w:after="0" w:line="240" w:lineRule="auto"/>
      </w:pPr>
      <w:r>
        <w:separator/>
      </w:r>
    </w:p>
  </w:endnote>
  <w:endnote w:type="continuationSeparator" w:id="0">
    <w:p w:rsidR="00B7090F" w:rsidRDefault="00B7090F" w:rsidP="00B7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0F" w:rsidRDefault="00B70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B7090F" w:rsidRPr="00BC71D4">
      <w:tc>
        <w:tcPr>
          <w:tcW w:w="918" w:type="dxa"/>
        </w:tcPr>
        <w:p w:rsidR="00B7090F" w:rsidRDefault="00B7090F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C71D4" w:rsidRPr="00BC71D4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7090F" w:rsidRDefault="00BC71D4" w:rsidP="00BC71D4">
          <w:pPr>
            <w:pStyle w:val="Footer"/>
            <w:jc w:val="right"/>
            <w:rPr>
              <w:lang w:val="ga-IE"/>
            </w:rPr>
          </w:pPr>
          <w:bookmarkStart w:id="0" w:name="_GoBack"/>
          <w:bookmarkEnd w:id="0"/>
          <w:r>
            <w:rPr>
              <w:lang w:val="ga-IE"/>
            </w:rPr>
            <w:t>Sandrine Pac-Kenny</w:t>
          </w:r>
        </w:p>
        <w:p w:rsidR="00BC71D4" w:rsidRPr="00BC71D4" w:rsidRDefault="00BC71D4" w:rsidP="00BC71D4">
          <w:pPr>
            <w:pStyle w:val="Footer"/>
            <w:jc w:val="right"/>
            <w:rPr>
              <w:lang w:val="ga-IE"/>
            </w:rPr>
          </w:pPr>
          <w:r>
            <w:rPr>
              <w:lang w:val="ga-IE"/>
            </w:rPr>
            <w:t>Septembre 2014</w:t>
          </w:r>
        </w:p>
      </w:tc>
    </w:tr>
  </w:tbl>
  <w:p w:rsidR="00B7090F" w:rsidRPr="00BC71D4" w:rsidRDefault="00B7090F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0F" w:rsidRDefault="00B70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0F" w:rsidRDefault="00B7090F" w:rsidP="00B7090F">
      <w:pPr>
        <w:spacing w:after="0" w:line="240" w:lineRule="auto"/>
      </w:pPr>
      <w:r>
        <w:separator/>
      </w:r>
    </w:p>
  </w:footnote>
  <w:footnote w:type="continuationSeparator" w:id="0">
    <w:p w:rsidR="00B7090F" w:rsidRDefault="00B7090F" w:rsidP="00B7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0F" w:rsidRDefault="00B70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0F" w:rsidRDefault="00B709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0F" w:rsidRDefault="00B70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713"/>
    <w:multiLevelType w:val="hybridMultilevel"/>
    <w:tmpl w:val="72628764"/>
    <w:lvl w:ilvl="0" w:tplc="927C1A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2E27D0"/>
    <w:multiLevelType w:val="hybridMultilevel"/>
    <w:tmpl w:val="0810B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F52FA"/>
    <w:multiLevelType w:val="hybridMultilevel"/>
    <w:tmpl w:val="5E00AB56"/>
    <w:lvl w:ilvl="0" w:tplc="A1DC0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5"/>
    <w:rsid w:val="000109E3"/>
    <w:rsid w:val="00031EE5"/>
    <w:rsid w:val="000330E6"/>
    <w:rsid w:val="000714EC"/>
    <w:rsid w:val="00082A55"/>
    <w:rsid w:val="000D38E6"/>
    <w:rsid w:val="000E046A"/>
    <w:rsid w:val="00102900"/>
    <w:rsid w:val="001B7B3E"/>
    <w:rsid w:val="0020188B"/>
    <w:rsid w:val="00207C55"/>
    <w:rsid w:val="00212562"/>
    <w:rsid w:val="002241EE"/>
    <w:rsid w:val="002C06F7"/>
    <w:rsid w:val="002D7BE6"/>
    <w:rsid w:val="003250BF"/>
    <w:rsid w:val="003724CD"/>
    <w:rsid w:val="003B210F"/>
    <w:rsid w:val="003C1FEC"/>
    <w:rsid w:val="00412061"/>
    <w:rsid w:val="00426D68"/>
    <w:rsid w:val="00456553"/>
    <w:rsid w:val="004635F3"/>
    <w:rsid w:val="004D6659"/>
    <w:rsid w:val="004D70A1"/>
    <w:rsid w:val="004F43B7"/>
    <w:rsid w:val="005450BC"/>
    <w:rsid w:val="0057203A"/>
    <w:rsid w:val="00591334"/>
    <w:rsid w:val="005A415E"/>
    <w:rsid w:val="005A5D2A"/>
    <w:rsid w:val="005B6417"/>
    <w:rsid w:val="005D3E55"/>
    <w:rsid w:val="005E487B"/>
    <w:rsid w:val="00656647"/>
    <w:rsid w:val="00667251"/>
    <w:rsid w:val="006913FE"/>
    <w:rsid w:val="006F061B"/>
    <w:rsid w:val="00757263"/>
    <w:rsid w:val="007805DB"/>
    <w:rsid w:val="00785C3C"/>
    <w:rsid w:val="007B2D3B"/>
    <w:rsid w:val="007C37F4"/>
    <w:rsid w:val="00822EE0"/>
    <w:rsid w:val="00837973"/>
    <w:rsid w:val="008F1789"/>
    <w:rsid w:val="008F5E30"/>
    <w:rsid w:val="0095345F"/>
    <w:rsid w:val="00970A14"/>
    <w:rsid w:val="009A50A2"/>
    <w:rsid w:val="00A32A70"/>
    <w:rsid w:val="00A57D56"/>
    <w:rsid w:val="00A71CCD"/>
    <w:rsid w:val="00A806A8"/>
    <w:rsid w:val="00AA1EA6"/>
    <w:rsid w:val="00AC11EB"/>
    <w:rsid w:val="00AE28BC"/>
    <w:rsid w:val="00B14BAA"/>
    <w:rsid w:val="00B22A2E"/>
    <w:rsid w:val="00B41908"/>
    <w:rsid w:val="00B7090F"/>
    <w:rsid w:val="00BC71D4"/>
    <w:rsid w:val="00C15265"/>
    <w:rsid w:val="00C20533"/>
    <w:rsid w:val="00D07A56"/>
    <w:rsid w:val="00D45A58"/>
    <w:rsid w:val="00D677F6"/>
    <w:rsid w:val="00DB7D3D"/>
    <w:rsid w:val="00DC2BC3"/>
    <w:rsid w:val="00DF6905"/>
    <w:rsid w:val="00E05239"/>
    <w:rsid w:val="00E573C3"/>
    <w:rsid w:val="00E6069B"/>
    <w:rsid w:val="00ED59C0"/>
    <w:rsid w:val="00EE7AB1"/>
    <w:rsid w:val="00F02981"/>
    <w:rsid w:val="00F455E1"/>
    <w:rsid w:val="00FD5627"/>
    <w:rsid w:val="00FE5B75"/>
    <w:rsid w:val="00FF39B7"/>
    <w:rsid w:val="00FF6B85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4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0F"/>
  </w:style>
  <w:style w:type="paragraph" w:styleId="Footer">
    <w:name w:val="footer"/>
    <w:basedOn w:val="Normal"/>
    <w:link w:val="FooterChar"/>
    <w:uiPriority w:val="99"/>
    <w:unhideWhenUsed/>
    <w:rsid w:val="00B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4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0F"/>
  </w:style>
  <w:style w:type="paragraph" w:styleId="Footer">
    <w:name w:val="footer"/>
    <w:basedOn w:val="Normal"/>
    <w:link w:val="FooterChar"/>
    <w:uiPriority w:val="99"/>
    <w:unhideWhenUsed/>
    <w:rsid w:val="00B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inations.ie/schools/S77_13_JC_2014_Optional_Oral_in_French_German_Spanish_and_Italian_Circular.pdf" TargetMode="External"/><Relationship Id="rId13" Type="http://schemas.openxmlformats.org/officeDocument/2006/relationships/image" Target="media/image1.gi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oki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line-stopwatch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xaminations.ie/schools/BR2_Form_-_Modern_Languages_2014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examinations.ie/schools/Junior_Cert_French_oral_guidelines_201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kenny</dc:creator>
  <cp:keywords/>
  <dc:description/>
  <cp:lastModifiedBy>Sandrine</cp:lastModifiedBy>
  <cp:revision>16</cp:revision>
  <dcterms:created xsi:type="dcterms:W3CDTF">2014-09-04T16:53:00Z</dcterms:created>
  <dcterms:modified xsi:type="dcterms:W3CDTF">2014-09-04T20:57:00Z</dcterms:modified>
</cp:coreProperties>
</file>